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E9" w:rsidRDefault="00FF73E9" w:rsidP="00FF7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FF73E9" w:rsidRPr="00B043B4" w:rsidRDefault="00FF73E9" w:rsidP="00C47308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FF73E9" w:rsidRPr="00B043B4" w:rsidTr="003A2037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FF73E9" w:rsidRPr="00B043B4" w:rsidRDefault="00FF73E9" w:rsidP="003A203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FF73E9" w:rsidRPr="00B043B4" w:rsidRDefault="00C47308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55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Návrh na vyslanie príslušníkov Ozbrojených síl Slovenskej republiky do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vojenskej </w:t>
            </w:r>
            <w:r w:rsidRPr="00F8552F">
              <w:rPr>
                <w:rFonts w:ascii="Times New Roman" w:hAnsi="Times New Roman" w:cs="Times New Roman"/>
                <w:i/>
                <w:sz w:val="20"/>
                <w:szCs w:val="20"/>
              </w:rPr>
              <w:t>asistenčnej misie Európskej únie pre Ukrajinu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054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územie členských štátov Európskej únie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 na vyslovenie súhlasu s prítomnosťou zahraničných ozbrojených síl na území Slovenskej republiky určených na plnenie úloh vojenskej asistenčnej misie Európskej únie pre Ukrajinu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FF73E9" w:rsidRPr="00B043B4" w:rsidRDefault="00FF73E9" w:rsidP="003A203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3E9" w:rsidRPr="00B043B4" w:rsidRDefault="00C47308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F37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Ministerstvo obrany Slovenskej republiky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 Ministerstvo zahraničných vecí a európskych záležitostí Slovenskej republiky</w:t>
            </w:r>
          </w:p>
        </w:tc>
      </w:tr>
      <w:tr w:rsidR="00FF73E9" w:rsidRPr="00B043B4" w:rsidTr="003A2037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FF73E9" w:rsidRPr="00B043B4" w:rsidRDefault="00FF73E9" w:rsidP="003A203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8282863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FF73E9" w:rsidRPr="00B043B4" w:rsidRDefault="00C47308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FF73E9" w:rsidRPr="00B043B4" w:rsidTr="003A2037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001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F73E9" w:rsidRPr="00B043B4" w:rsidRDefault="00FF73E9" w:rsidP="003A2037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FF73E9" w:rsidRPr="00B043B4" w:rsidTr="003A2037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13290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F73E9" w:rsidRPr="00B043B4" w:rsidTr="003A2037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9" w:rsidRPr="00B043B4" w:rsidRDefault="00426A30" w:rsidP="003A20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2.3. – 10.3. </w:t>
            </w:r>
            <w:r w:rsidR="00C473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2023</w:t>
            </w:r>
          </w:p>
        </w:tc>
      </w:tr>
      <w:tr w:rsidR="00FF73E9" w:rsidRPr="00B043B4" w:rsidTr="003A203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9" w:rsidRPr="00B043B4" w:rsidRDefault="00C47308" w:rsidP="003A20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marec 2023</w:t>
            </w:r>
          </w:p>
        </w:tc>
      </w:tr>
      <w:tr w:rsidR="00FF73E9" w:rsidRPr="00B043B4" w:rsidTr="003A2037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FF73E9" w:rsidRPr="00B043B4" w:rsidTr="003A203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9" w:rsidRPr="00B043B4" w:rsidRDefault="00DF1768" w:rsidP="003A20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</w:t>
            </w:r>
            <w:r w:rsidR="00C473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FF73E9" w:rsidRPr="00B043B4" w:rsidTr="003A2037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E9" w:rsidRPr="00B043B4" w:rsidRDefault="0039270E" w:rsidP="0019664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 nevyprovokovanej vojenskej agresii Ruskej federácie voči Ukrajine sa demokratický svet vrátane Slovenskej republiky postavil na stranu brániacej sa Ukrajiny. V súčasnej situácii potrebuje Ukrajina okrem nevyhnutných dodávok zbraní najmä dostatok príslušníkov vlastných ozbrojených síl, ktorí prešli príslušným výcvikom. V tejto súvislosti bolo členskými štátmi EÚ schválené vytvore</w:t>
            </w:r>
            <w:r w:rsidR="001966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nie vojens</w:t>
            </w:r>
            <w:r w:rsidR="007016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kej asistenčnej misie (EUMAM UA</w:t>
            </w:r>
            <w:r w:rsidR="00DF1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</w:t>
            </w:r>
            <w:r w:rsidR="007016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ktorej ci</w:t>
            </w:r>
            <w:r w:rsidR="008625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eľom je poskytnúť príslušníkom 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krajinských ozbrojených síl potrebný výcvik. Slovenská republika začala poskytovať výcvi</w:t>
            </w:r>
            <w:r w:rsidR="008625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 u</w:t>
            </w:r>
            <w:r w:rsidR="001966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krajinských ozbrojeným silám formou mnohonárodného vojenského cvičenia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 októbri 2022 a bude</w:t>
            </w:r>
            <w:r w:rsidR="001966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 ňom pokračovať i naďalej v rámci misie EUMAM UA.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FF73E9" w:rsidRPr="00B043B4" w:rsidTr="003A2037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E9" w:rsidRPr="00B043B4" w:rsidRDefault="0039270E" w:rsidP="003927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042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Cie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ľom návrhu je zabezpečiť účasť </w:t>
            </w:r>
            <w:r w:rsidRPr="00E042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Ozbrojených síl Sloven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skej republiky vo vojenskej asistenčnej misii EÚ pre Ukrajinu</w:t>
            </w:r>
            <w:r w:rsidRPr="00E042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 naplniť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tak </w:t>
            </w:r>
            <w:r w:rsidRPr="00E042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urgentné požiadavky Uk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rajinských ozbrojených síl v oblasti výcviku a súčasne tak posilniť ich kapacity v boji za obnovenie teritoriálnej integrity Ukrajiny v medzinárodne uznaných hraniciach.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E9" w:rsidRPr="00B043B4" w:rsidRDefault="0039270E" w:rsidP="003927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Pr="008141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ávrh sa týka výhradne a priamo pôsobnosti Ministerstva obrany SR a Ozbroje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ných síl Slovenskej republiky.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FF73E9" w:rsidRPr="00B043B4" w:rsidTr="0039270E">
        <w:trPr>
          <w:trHeight w:val="822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E9" w:rsidRPr="00B043B4" w:rsidRDefault="0039270E" w:rsidP="003A203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141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Alterna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tívne riešenia neboli zvažované, vzhľadom k tomu, že SR od začiatku ruskej agresie na Ukrajine poskytuje brániacemu sa štátu diplomatickú, humanitárnu a vojenskú podporu. Nulový variant by znamenal neprijatie návrhu, čím by sa SR nepodieľala na vojenskej asistenčnej misii EÚ pre Ukrajinu.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FF73E9" w:rsidRPr="00B043B4" w:rsidTr="003A2037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FF73E9" w:rsidRPr="00B043B4" w:rsidRDefault="0075333B" w:rsidP="003A2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33546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E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FF73E9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3E9" w:rsidRPr="00B043B4" w:rsidRDefault="0075333B" w:rsidP="003A2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809169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0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FF73E9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E9" w:rsidRPr="00196649" w:rsidRDefault="00FF73E9" w:rsidP="003A20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FF73E9" w:rsidRPr="00B043B4" w:rsidTr="003A2037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FF73E9" w:rsidTr="003A2037">
              <w:trPr>
                <w:trHeight w:val="90"/>
              </w:trPr>
              <w:tc>
                <w:tcPr>
                  <w:tcW w:w="8643" w:type="dxa"/>
                </w:tcPr>
                <w:p w:rsidR="00FF73E9" w:rsidRPr="002F6ADB" w:rsidRDefault="00FF73E9" w:rsidP="003A2037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FF73E9" w:rsidTr="003A2037">
              <w:trPr>
                <w:trHeight w:val="296"/>
              </w:trPr>
              <w:tc>
                <w:tcPr>
                  <w:tcW w:w="8643" w:type="dxa"/>
                </w:tcPr>
                <w:p w:rsidR="00FF73E9" w:rsidRPr="0039270E" w:rsidRDefault="00FF73E9" w:rsidP="003A2037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270E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FF73E9" w:rsidRPr="002F6ADB" w:rsidRDefault="00FF73E9" w:rsidP="003A2037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FF73E9" w:rsidTr="003A2037">
              <w:trPr>
                <w:trHeight w:val="296"/>
              </w:trPr>
              <w:tc>
                <w:tcPr>
                  <w:tcW w:w="8643" w:type="dxa"/>
                </w:tcPr>
                <w:p w:rsidR="00FF73E9" w:rsidRDefault="00FF73E9" w:rsidP="003A2037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FF73E9" w:rsidRPr="00B043B4" w:rsidRDefault="00FF73E9" w:rsidP="003A203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FF73E9" w:rsidRPr="00B043B4" w:rsidTr="0040548D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3E9" w:rsidRPr="00B043B4" w:rsidRDefault="00FF73E9" w:rsidP="003927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FF73E9" w:rsidRPr="00B043B4" w:rsidTr="003A2037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E9" w:rsidRPr="00B043B4" w:rsidRDefault="0039270E" w:rsidP="003927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Účelnosť osť predkladaného návrhu bude preskúmaná do 31. decembra 2023.</w:t>
            </w:r>
          </w:p>
        </w:tc>
      </w:tr>
      <w:tr w:rsidR="00FF73E9" w:rsidRPr="002F6ADB" w:rsidTr="003A2037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6649" w:rsidRPr="002F6ADB" w:rsidRDefault="00196649" w:rsidP="003A203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F73E9" w:rsidRPr="002F6ADB" w:rsidRDefault="00FF73E9" w:rsidP="003A2037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FF73E9" w:rsidRPr="002F6ADB" w:rsidRDefault="00FF73E9" w:rsidP="003A20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 vyplniť iba v prípade, ak sa záverečné posúdenie vybraných vplyvov uskutočnilo v zmysle bodu 9.1. jednotnej metodiky.*** posudzovanie sa týka len zmien v I. a II. pilieri univerzálneho systému dôchodkového zabezpečenia s identifikovaným dopadom od 0,1 % HDP (vrátane) na dlhodobom horizonte.</w:t>
            </w:r>
          </w:p>
          <w:p w:rsidR="00FF73E9" w:rsidRPr="002F6ADB" w:rsidRDefault="00FF73E9" w:rsidP="003A20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F73E9" w:rsidRPr="002F6ADB" w:rsidRDefault="00FF73E9" w:rsidP="003A203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FF73E9" w:rsidRPr="00B043B4" w:rsidTr="003A2037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FF73E9" w:rsidRPr="00B043B4" w:rsidTr="003A203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0021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807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60262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F73E9" w:rsidRPr="00B043B4" w:rsidRDefault="0039270E" w:rsidP="003A203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F73E9" w:rsidRPr="00B043B4" w:rsidRDefault="00FF73E9" w:rsidP="003A2037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FF73E9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FF73E9" w:rsidRPr="00A340BB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030637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F73E9" w:rsidRPr="00B043B4" w:rsidRDefault="0039270E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79890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016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73E9" w:rsidRPr="00B043B4" w:rsidRDefault="00FF73E9" w:rsidP="003A2037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Pr="003145AE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5444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1863378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F73E9" w:rsidRPr="00B043B4" w:rsidRDefault="0039270E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5992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F73E9" w:rsidRPr="00B043B4" w:rsidRDefault="00FF73E9" w:rsidP="003A203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F73E9" w:rsidRPr="00B043B4" w:rsidRDefault="00FF73E9" w:rsidP="003A2037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F73E9" w:rsidRDefault="00FF73E9" w:rsidP="003A2037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FF73E9" w:rsidRPr="003145AE" w:rsidRDefault="00FF73E9" w:rsidP="003A2037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54187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5866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99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E9" w:rsidRPr="00B043B4" w:rsidRDefault="00FF73E9" w:rsidP="003A2037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F73E9" w:rsidRPr="002F6ADB" w:rsidRDefault="00FF73E9" w:rsidP="003A2037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F73E9" w:rsidRPr="002F6ADB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3E9" w:rsidRPr="002F6ADB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3E9" w:rsidRPr="002F6ADB" w:rsidRDefault="00FF73E9" w:rsidP="003A2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3E9" w:rsidRPr="002F6ADB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F73E9" w:rsidRPr="002F6ADB" w:rsidRDefault="0039270E" w:rsidP="003A203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E9" w:rsidRPr="002F6ADB" w:rsidRDefault="00FF73E9" w:rsidP="003A2037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7008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677558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F73E9" w:rsidRPr="00B043B4" w:rsidRDefault="0039270E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2162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73E9" w:rsidRPr="00B043B4" w:rsidRDefault="00FF73E9" w:rsidP="003A203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90914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5947040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F73E9" w:rsidRPr="00B043B4" w:rsidRDefault="0039270E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49224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73E9" w:rsidRPr="00B043B4" w:rsidRDefault="00FF73E9" w:rsidP="003A2037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F73E9" w:rsidRDefault="00FF73E9" w:rsidP="003A2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2922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5300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E9" w:rsidRPr="00B043B4" w:rsidRDefault="00FF73E9" w:rsidP="003A203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77976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3E9" w:rsidRPr="00B043B4" w:rsidRDefault="00FF73E9" w:rsidP="003A203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049741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F73E9" w:rsidRPr="00B043B4" w:rsidRDefault="0039270E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994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E9" w:rsidRPr="00B043B4" w:rsidRDefault="00FF73E9" w:rsidP="003A203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652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3E9" w:rsidRPr="00B043B4" w:rsidRDefault="00FF73E9" w:rsidP="003A203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297573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F73E9" w:rsidRPr="00B043B4" w:rsidRDefault="0039270E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6623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E9" w:rsidRPr="00B043B4" w:rsidRDefault="00FF73E9" w:rsidP="003A203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742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3E9" w:rsidRPr="00B043B4" w:rsidRDefault="00FF73E9" w:rsidP="003A203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109813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F73E9" w:rsidRPr="00B043B4" w:rsidRDefault="0039270E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9880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E9" w:rsidRPr="00B043B4" w:rsidRDefault="00FF73E9" w:rsidP="003A203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FF73E9" w:rsidRPr="00B043B4" w:rsidTr="003A203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3E9" w:rsidRPr="00B043B4" w:rsidRDefault="00FF73E9" w:rsidP="003A203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3E9" w:rsidRPr="00B043B4" w:rsidRDefault="00FF73E9" w:rsidP="003A20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3E9" w:rsidRPr="00B043B4" w:rsidRDefault="00FF73E9" w:rsidP="003A203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3E9" w:rsidRPr="00B043B4" w:rsidRDefault="00FF73E9" w:rsidP="003A2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3E9" w:rsidRPr="00B043B4" w:rsidRDefault="00FF73E9" w:rsidP="003A203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73E9" w:rsidRPr="00B043B4" w:rsidRDefault="00FF73E9" w:rsidP="003A203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FF73E9" w:rsidRPr="00B043B4" w:rsidTr="003A203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998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FF73E9" w:rsidRPr="00B043B4" w:rsidRDefault="00FF73E9" w:rsidP="003A203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F73E9" w:rsidRPr="00B043B4" w:rsidRDefault="00FF73E9" w:rsidP="003A20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94200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FF73E9" w:rsidRPr="00B043B4" w:rsidRDefault="0039270E" w:rsidP="003A203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F73E9" w:rsidRPr="00B043B4" w:rsidRDefault="00FF73E9" w:rsidP="003A2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7727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FF73E9" w:rsidRPr="00B043B4" w:rsidRDefault="00FF73E9" w:rsidP="003A203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3E9" w:rsidRPr="00B043B4" w:rsidRDefault="00FF73E9" w:rsidP="003A203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F73E9" w:rsidRPr="00B043B4" w:rsidTr="003A203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78669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FF73E9" w:rsidRPr="00B043B4" w:rsidRDefault="00FF73E9" w:rsidP="003A203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F73E9" w:rsidRPr="00B043B4" w:rsidRDefault="00FF73E9" w:rsidP="003A20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486975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FF73E9" w:rsidRPr="00B043B4" w:rsidRDefault="0039270E" w:rsidP="003A203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F73E9" w:rsidRPr="00B043B4" w:rsidRDefault="00FF73E9" w:rsidP="003A2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3835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FF73E9" w:rsidRPr="00B043B4" w:rsidRDefault="00FF73E9" w:rsidP="003A203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E9" w:rsidRPr="00B043B4" w:rsidRDefault="00FF73E9" w:rsidP="003A203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FF73E9" w:rsidRPr="00B043B4" w:rsidTr="003A203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128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92077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F73E9" w:rsidRPr="00B043B4" w:rsidRDefault="0039270E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8630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F73E9" w:rsidRPr="00B043B4" w:rsidRDefault="00FF73E9" w:rsidP="003A20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E9" w:rsidRPr="00B043B4" w:rsidRDefault="00FF73E9" w:rsidP="003A203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FF73E9" w:rsidRPr="00B043B4" w:rsidRDefault="00FF73E9" w:rsidP="00FF73E9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FF73E9" w:rsidRPr="00B043B4" w:rsidTr="003A203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FF73E9" w:rsidRPr="00B043B4" w:rsidTr="003A2037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F73E9" w:rsidRPr="00B043B4" w:rsidRDefault="0039270E" w:rsidP="0039270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0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Rozpočtové krytie na zabezpečenie vyslania príslušníkov Ozbrojených síl Slovenskej republiky do veliteľských štruktúr misie je v súlade s príslušným rozpočtovým opatrením Ministerstva obrany</w:t>
            </w:r>
            <w:r w:rsidR="008625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SR</w:t>
            </w:r>
            <w:r w:rsidRPr="00A10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 pokrytie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vyslania personálu Ozbrojených síl Slovenskej republiky do veliteľských štruktúr misií a operácií medzinárodného krízového manažmentu. Financovanie tohto vyslania bude zabezpečené v rámci rozpočtu kapitoly MO SR v programe 096 Obrana, podprogram 09602 Velenie a zaručovanie obrany v roku 2023 a v nasledujúcich rokoch. Finančné náklady spojené s </w:t>
            </w:r>
            <w:r w:rsidR="008625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poskytnutím výcviku ukrajinským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ozbrojeným silám, ktorý bude reflektovať aktuálne požiadavky Ukrajiny, budú refundované prostredníctvom</w:t>
            </w:r>
            <w:r w:rsidR="00DF1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 operačného piliera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Európskeho mierového nástroja.</w:t>
            </w:r>
          </w:p>
        </w:tc>
      </w:tr>
      <w:tr w:rsidR="00FF73E9" w:rsidRPr="00B043B4" w:rsidTr="003A203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FF73E9" w:rsidRPr="00B043B4" w:rsidTr="003A2037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E9" w:rsidRPr="00B043B4" w:rsidRDefault="0039270E" w:rsidP="0039270E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92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  <w:r w:rsidR="004054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br/>
            </w:r>
            <w:r w:rsidRPr="00392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Jana </w:t>
            </w:r>
            <w:proofErr w:type="spellStart"/>
            <w:r w:rsidRPr="00392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Kotorová</w:t>
            </w:r>
            <w:proofErr w:type="spellEnd"/>
            <w:r w:rsidRPr="00392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hyperlink r:id="rId9" w:history="1">
              <w:r w:rsidRPr="0039270E">
                <w:rPr>
                  <w:rFonts w:ascii="Times New Roman" w:eastAsia="Times New Roman" w:hAnsi="Times New Roman" w:cs="Times New Roman"/>
                  <w:i/>
                  <w:color w:val="0563C1" w:themeColor="hyperlink"/>
                  <w:sz w:val="20"/>
                  <w:szCs w:val="20"/>
                  <w:u w:val="single"/>
                  <w:lang w:eastAsia="sk-SK"/>
                </w:rPr>
                <w:t>jana.kotorova@mod.gov.sk</w:t>
              </w:r>
            </w:hyperlink>
            <w:r w:rsidR="00DF1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br/>
            </w:r>
            <w:r w:rsidRPr="00392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Pavla </w:t>
            </w:r>
            <w:proofErr w:type="spellStart"/>
            <w:r w:rsidRPr="00392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Obertová</w:t>
            </w:r>
            <w:proofErr w:type="spellEnd"/>
            <w:r w:rsidRPr="00392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hyperlink r:id="rId10" w:history="1">
              <w:r w:rsidRPr="0039270E">
                <w:rPr>
                  <w:rFonts w:ascii="Times New Roman" w:eastAsia="Times New Roman" w:hAnsi="Times New Roman" w:cs="Times New Roman"/>
                  <w:i/>
                  <w:color w:val="0563C1" w:themeColor="hyperlink"/>
                  <w:sz w:val="20"/>
                  <w:szCs w:val="20"/>
                  <w:u w:val="single"/>
                  <w:lang w:eastAsia="sk-SK"/>
                </w:rPr>
                <w:t>pavla.obertova@mod.gov.sk</w:t>
              </w:r>
            </w:hyperlink>
          </w:p>
        </w:tc>
      </w:tr>
      <w:tr w:rsidR="00FF73E9" w:rsidRPr="00B043B4" w:rsidTr="003A203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FF73E9" w:rsidRPr="00B043B4" w:rsidTr="003A2037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E9" w:rsidRPr="00196649" w:rsidRDefault="0039270E" w:rsidP="003A20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Materiál bol spracovaný na základe podkladov Generálneho štábu Ozbrojených síl Slovenskej republiky.</w:t>
            </w:r>
          </w:p>
        </w:tc>
      </w:tr>
      <w:tr w:rsidR="00FF73E9" w:rsidRPr="00B043B4" w:rsidTr="003A203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</w:t>
            </w:r>
            <w:r w:rsidR="005D4C13">
              <w:rPr>
                <w:rFonts w:ascii="Times New Roman" w:eastAsia="Calibri" w:hAnsi="Times New Roman" w:cs="Times New Roman"/>
                <w:b/>
              </w:rPr>
              <w:t>vybraných vplyvov z PPK č. 038/2023</w:t>
            </w:r>
          </w:p>
          <w:p w:rsidR="00FF73E9" w:rsidRPr="00B043B4" w:rsidRDefault="00FF73E9" w:rsidP="003A2037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FF73E9" w:rsidRPr="00B043B4" w:rsidTr="003A2037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FF73E9" w:rsidRPr="00B043B4" w:rsidTr="003A2037">
              <w:trPr>
                <w:trHeight w:val="396"/>
              </w:trPr>
              <w:tc>
                <w:tcPr>
                  <w:tcW w:w="2552" w:type="dxa"/>
                </w:tcPr>
                <w:p w:rsidR="00FF73E9" w:rsidRPr="00B043B4" w:rsidRDefault="0075333B" w:rsidP="003A203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78320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73E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F73E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FF73E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FF73E9" w:rsidRPr="00B043B4" w:rsidRDefault="0075333B" w:rsidP="003A203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36748784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4C1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FF73E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FF73E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FF73E9" w:rsidRPr="00B043B4" w:rsidRDefault="0075333B" w:rsidP="003A2037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311895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73E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F73E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FF73E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5D4C13" w:rsidRDefault="00FF73E9" w:rsidP="0019664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5D4C13" w:rsidRPr="008963AF" w:rsidRDefault="005D4C13" w:rsidP="005D4C1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br/>
            </w:r>
            <w:r w:rsidRPr="008963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Predložený materiál má negatívny vplyv na rozpočet verejnej správy, ktorý je v analýze vplyvov na rozpočet verejnej správy kvantifikovaný  v roku 2023 v sume 456 315 eur a v roku 2024 v sume 215 422 eur. V časti 2.1.1. </w:t>
            </w:r>
            <w:r w:rsidRPr="008963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Financovanie návrhu predkladateľ uvádza, že „Financovanie vyslania príslušníkov OS SR do veliteľských štruktúr EUMAM UA je zabezpečené v rámci rozpočtu kapitoly MO SR v programe 096 Obrana v rokoch 2023 a 2024. Finančné náklady</w:t>
            </w:r>
            <w:r w:rsidR="008625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spojené s poskytnutím výcviku u</w:t>
            </w:r>
            <w:r w:rsidR="00753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krajinským</w:t>
            </w:r>
            <w:bookmarkStart w:id="0" w:name="_GoBack"/>
            <w:bookmarkEnd w:id="0"/>
            <w:r w:rsidRPr="008963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ozbrojeným silám budú refundované prostredníctvom Európskeho mierového nástroja.“.</w:t>
            </w:r>
          </w:p>
          <w:p w:rsidR="005D4C13" w:rsidRPr="008963AF" w:rsidRDefault="005D4C13" w:rsidP="005D4C13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5D4C13" w:rsidRPr="008963AF" w:rsidRDefault="005D4C13" w:rsidP="005D4C13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963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V analýze vplyvov na rozpočet navrhuje Komisia doplniť, resp. sprístupniť Ministerstvu financií SR spôsob, akým boli určené náklady na vyslaných príslušníkov OS SR a náklady spojené s výcvikom na území Slovenskej republiky. </w:t>
            </w:r>
          </w:p>
          <w:p w:rsidR="005D4C13" w:rsidRPr="008963AF" w:rsidRDefault="005D4C13" w:rsidP="005D4C13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5D4C13" w:rsidRPr="008963AF" w:rsidRDefault="005D4C13" w:rsidP="005D4C13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963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Zároveň Komisia odporúča v analýze vplyvov na rozpočet uviesť celkovú výšku nákladov financovanú zo štátneho rozpočtu a z EÚ. Z analýzy nie je zrejmé, či sú zarátané aj náklady, ktoré budú refundované z Európskeho mierového nástroja.</w:t>
            </w:r>
          </w:p>
          <w:p w:rsidR="005D4C13" w:rsidRPr="008963AF" w:rsidRDefault="005D4C13" w:rsidP="005D4C13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5D4C13" w:rsidRPr="008963AF" w:rsidRDefault="005D4C13" w:rsidP="005D4C13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963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V analýze vplyvov v tabuľke č. 1 je potrebné v riadkoch „vplyv na počet zamestnancov“ a „- vplyv na ŠR“ zohľadniť počet zamestnancov uvedený v tabuľke č. 5. V tabuľke č. 4 v riadku „Bežné výdavky (600)“ je uvedená suma 465 315, ktorú je potrebné opraviť na sumu 456 315 eur. </w:t>
            </w:r>
          </w:p>
          <w:p w:rsidR="00A47367" w:rsidRDefault="00CF6A50" w:rsidP="0019664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963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br/>
            </w:r>
            <w:r w:rsidRPr="00A473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sk-SK"/>
              </w:rPr>
              <w:t>Vyhodnotenie:</w:t>
            </w:r>
            <w:r w:rsidRPr="00CF6A50">
              <w:rPr>
                <w:rFonts w:ascii="Times New Roman" w:eastAsia="Times New Roman" w:hAnsi="Times New Roman" w:cs="Times New Roman"/>
                <w:i/>
                <w:u w:val="single"/>
                <w:lang w:eastAsia="sk-SK"/>
              </w:rPr>
              <w:t xml:space="preserve"> </w:t>
            </w:r>
            <w:r w:rsidR="00400A3C">
              <w:rPr>
                <w:rFonts w:ascii="Times New Roman" w:eastAsia="Times New Roman" w:hAnsi="Times New Roman" w:cs="Times New Roman"/>
                <w:i/>
                <w:u w:val="single"/>
                <w:lang w:eastAsia="sk-SK"/>
              </w:rPr>
              <w:br/>
            </w:r>
            <w:r w:rsidR="00400A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zmysle pripomienky Komisie bol Ministerstvu financií SR sprístupnený a objasnený spôsob  </w:t>
            </w:r>
            <w:r w:rsidR="005D4C13" w:rsidRPr="00CF6A50">
              <w:rPr>
                <w:rFonts w:ascii="Times New Roman" w:eastAsia="Times New Roman" w:hAnsi="Times New Roman" w:cs="Times New Roman"/>
                <w:i/>
                <w:u w:val="single"/>
                <w:lang w:eastAsia="sk-SK"/>
              </w:rPr>
              <w:br/>
            </w:r>
            <w:r w:rsidR="00400A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výpočtu nákladov na vyslanie príslušníkov OS SR do velite</w:t>
            </w:r>
            <w:r w:rsidR="00A473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ľských štruktúr misie, ktoré budú hradené z rozpočtu Ministerstva obrany SR.</w:t>
            </w:r>
            <w:r w:rsidR="00400A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Súčasne bolo Komisii ozrejmené, že momentálne nie je možné vyčísliť celko</w:t>
            </w:r>
            <w:r w:rsidR="00A473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vú výšku nákladov na samotné poskytnutie výcviku, keďže sa bude odvíjať od potrieb a požiadaviek Ukrajiny. Tieto </w:t>
            </w:r>
            <w:r w:rsidR="00B079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náklady nie</w:t>
            </w:r>
            <w:r w:rsidR="00A473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sú súčasťou analýzy vplyvov na rozpočet, keďže budú následne refundované prostredníctvom Európskeho mierového nástroja.</w:t>
            </w:r>
          </w:p>
          <w:p w:rsidR="00FF73E9" w:rsidRPr="00A47367" w:rsidRDefault="00FF73E9" w:rsidP="0019664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FF73E9" w:rsidRPr="00B043B4" w:rsidTr="003A203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FF73E9" w:rsidRPr="00B043B4" w:rsidRDefault="00FF73E9" w:rsidP="003A2037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FF73E9" w:rsidRPr="00B043B4" w:rsidTr="003A203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FF73E9" w:rsidRPr="00B043B4" w:rsidRDefault="00FF73E9" w:rsidP="003A2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FF73E9" w:rsidRPr="00B043B4" w:rsidTr="003A2037">
              <w:trPr>
                <w:trHeight w:val="396"/>
              </w:trPr>
              <w:tc>
                <w:tcPr>
                  <w:tcW w:w="2552" w:type="dxa"/>
                </w:tcPr>
                <w:p w:rsidR="00FF73E9" w:rsidRPr="00B043B4" w:rsidRDefault="0075333B" w:rsidP="003A203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562480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73E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F73E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FF73E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FF73E9" w:rsidRPr="00B043B4" w:rsidRDefault="0075333B" w:rsidP="003A203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23703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73E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F73E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FF73E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FF73E9" w:rsidRPr="00B043B4" w:rsidRDefault="0075333B" w:rsidP="003A2037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51790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73E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F73E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FF73E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FF73E9" w:rsidRPr="00B043B4" w:rsidRDefault="00FF73E9" w:rsidP="0019664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:rsidR="00C41410" w:rsidRDefault="00C41410" w:rsidP="009A2481">
      <w:pPr>
        <w:tabs>
          <w:tab w:val="num" w:pos="1080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7367" w:rsidRDefault="00A47367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D0AF4" w:rsidRPr="000652F4" w:rsidRDefault="00CD0AF4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65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Analýza vplyvov na rozpočet verejnej správy, </w:t>
      </w:r>
    </w:p>
    <w:p w:rsidR="00CD0AF4" w:rsidRPr="000652F4" w:rsidRDefault="00CD0AF4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65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 zamestnanosť vo verejnej správe a financovanie návrhu</w:t>
      </w:r>
      <w:r w:rsidR="00D26A0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CD0AF4" w:rsidRPr="00CD0AF4" w:rsidRDefault="00CD0AF4" w:rsidP="00CD0AF4">
      <w:pPr>
        <w:tabs>
          <w:tab w:val="num" w:pos="7797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1 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779"/>
        <w:gridCol w:w="1068"/>
        <w:gridCol w:w="1134"/>
        <w:gridCol w:w="1115"/>
      </w:tblGrid>
      <w:tr w:rsidR="00CD0AF4" w:rsidRPr="00CD0AF4" w:rsidTr="00CD0AF4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96" w:type="dxa"/>
            <w:gridSpan w:val="4"/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CD0AF4" w:rsidRPr="00CD0AF4" w:rsidTr="00970E6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79" w:type="dxa"/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068" w:type="dxa"/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15" w:type="dxa"/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779" w:type="dxa"/>
            <w:shd w:val="clear" w:color="auto" w:fill="C0C0C0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shd w:val="clear" w:color="auto" w:fill="C0C0C0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C0C0C0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CD0AF4" w:rsidRPr="00E4238A" w:rsidRDefault="009A2481" w:rsidP="009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456 315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0AF4" w:rsidRPr="00CD0AF4" w:rsidRDefault="009A2481" w:rsidP="009A2481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215 422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C0C0C0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tom: MO SR / program 096 Obrana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AF4" w:rsidRPr="009A2481" w:rsidRDefault="009A2481" w:rsidP="004D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2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456 315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81" w:rsidRPr="009A63C7" w:rsidRDefault="009A2481" w:rsidP="009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215 422</w:t>
            </w:r>
          </w:p>
          <w:p w:rsidR="00CD0AF4" w:rsidRPr="00CD0AF4" w:rsidRDefault="00CD0AF4" w:rsidP="009A2481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779" w:type="dxa"/>
            <w:noWrap/>
          </w:tcPr>
          <w:p w:rsidR="00CD0AF4" w:rsidRPr="009A2481" w:rsidRDefault="009A2481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A2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456 315</w:t>
            </w:r>
          </w:p>
        </w:tc>
        <w:tc>
          <w:tcPr>
            <w:tcW w:w="1068" w:type="dxa"/>
            <w:noWrap/>
            <w:vAlign w:val="center"/>
          </w:tcPr>
          <w:p w:rsidR="009A2481" w:rsidRPr="009A63C7" w:rsidRDefault="009A2481" w:rsidP="009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215 422</w:t>
            </w:r>
          </w:p>
          <w:p w:rsidR="00CD0AF4" w:rsidRPr="00CD0AF4" w:rsidRDefault="00CD0AF4" w:rsidP="009A2481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A2481">
        <w:trPr>
          <w:trHeight w:val="383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AF4" w:rsidRPr="009A2481" w:rsidRDefault="009A2481" w:rsidP="00CD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2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456 315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81" w:rsidRPr="009A63C7" w:rsidRDefault="009A2481" w:rsidP="009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215 422</w:t>
            </w:r>
          </w:p>
          <w:p w:rsidR="00CD0AF4" w:rsidRPr="00CD0AF4" w:rsidRDefault="00CD0AF4" w:rsidP="009A2481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A2481">
        <w:trPr>
          <w:trHeight w:val="944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AF4" w:rsidRPr="009A2481" w:rsidRDefault="00483542" w:rsidP="009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2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9A2481" w:rsidRPr="009A2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</w:t>
            </w:r>
            <w:r w:rsidR="009A2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9A2481" w:rsidRPr="009A2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81" w:rsidRDefault="009A2481" w:rsidP="009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A2481" w:rsidRPr="009A63C7" w:rsidRDefault="009A2481" w:rsidP="009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215 422</w:t>
            </w:r>
          </w:p>
          <w:p w:rsidR="00CD0AF4" w:rsidRPr="00CD0AF4" w:rsidRDefault="00CD0AF4" w:rsidP="009A2481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CD0AF4" w:rsidRPr="00CD0AF4" w:rsidRDefault="00CD0AF4" w:rsidP="009A2481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779" w:type="dxa"/>
            <w:shd w:val="clear" w:color="auto" w:fill="BFBFBF"/>
            <w:noWrap/>
          </w:tcPr>
          <w:p w:rsidR="00CD0AF4" w:rsidRPr="00C41410" w:rsidRDefault="00CD0AF4" w:rsidP="00C4141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779" w:type="dxa"/>
            <w:noWrap/>
          </w:tcPr>
          <w:p w:rsidR="00CD0AF4" w:rsidRPr="00CD0AF4" w:rsidRDefault="00CD0AF4" w:rsidP="00C4141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779" w:type="dxa"/>
            <w:shd w:val="clear" w:color="auto" w:fill="BFBFBF"/>
            <w:noWrap/>
          </w:tcPr>
          <w:p w:rsidR="00CD0AF4" w:rsidRPr="00295867" w:rsidRDefault="009A2481" w:rsidP="00295867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105 120</w:t>
            </w:r>
          </w:p>
        </w:tc>
        <w:tc>
          <w:tcPr>
            <w:tcW w:w="1068" w:type="dxa"/>
            <w:shd w:val="clear" w:color="auto" w:fill="BFBFBF"/>
            <w:noWrap/>
            <w:vAlign w:val="center"/>
          </w:tcPr>
          <w:p w:rsidR="00CD0AF4" w:rsidRPr="00295867" w:rsidRDefault="009A2481" w:rsidP="009A2481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52 560</w:t>
            </w: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779" w:type="dxa"/>
            <w:noWrap/>
          </w:tcPr>
          <w:p w:rsidR="00CD0AF4" w:rsidRPr="00CD0AF4" w:rsidRDefault="009A2481" w:rsidP="00C3307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105 120</w:t>
            </w:r>
          </w:p>
        </w:tc>
        <w:tc>
          <w:tcPr>
            <w:tcW w:w="1068" w:type="dxa"/>
            <w:noWrap/>
            <w:vAlign w:val="center"/>
          </w:tcPr>
          <w:p w:rsidR="00CD0AF4" w:rsidRPr="00CE5535" w:rsidRDefault="009A2481" w:rsidP="009A2481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CE55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52 560</w:t>
            </w: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5904A8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779" w:type="dxa"/>
            <w:shd w:val="clear" w:color="auto" w:fill="C0C0C0"/>
            <w:noWrap/>
          </w:tcPr>
          <w:p w:rsidR="005904A8" w:rsidRPr="00CE5535" w:rsidRDefault="009A2481" w:rsidP="0059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E5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456 31</w:t>
            </w:r>
            <w:r w:rsidR="002933E5" w:rsidRPr="00CE5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68" w:type="dxa"/>
            <w:shd w:val="clear" w:color="auto" w:fill="C0C0C0"/>
            <w:noWrap/>
            <w:vAlign w:val="center"/>
          </w:tcPr>
          <w:p w:rsidR="005904A8" w:rsidRPr="00CE5535" w:rsidRDefault="002933E5" w:rsidP="00CE553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E5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215 422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C0C0C0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904A8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tom: MO SR / program 096 Obrana</w:t>
            </w:r>
          </w:p>
        </w:tc>
        <w:tc>
          <w:tcPr>
            <w:tcW w:w="1779" w:type="dxa"/>
            <w:noWrap/>
          </w:tcPr>
          <w:p w:rsidR="005904A8" w:rsidRPr="00CE5535" w:rsidRDefault="002933E5" w:rsidP="004C474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E55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456 315</w:t>
            </w:r>
          </w:p>
        </w:tc>
        <w:tc>
          <w:tcPr>
            <w:tcW w:w="1068" w:type="dxa"/>
            <w:noWrap/>
            <w:vAlign w:val="center"/>
          </w:tcPr>
          <w:p w:rsidR="005904A8" w:rsidRPr="00CE5535" w:rsidRDefault="002933E5" w:rsidP="00CE553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E5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215 422</w:t>
            </w:r>
          </w:p>
        </w:tc>
        <w:tc>
          <w:tcPr>
            <w:tcW w:w="1134" w:type="dxa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904A8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779" w:type="dxa"/>
            <w:shd w:val="clear" w:color="auto" w:fill="BFBFBF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shd w:val="clear" w:color="auto" w:fill="BFBFBF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BFBFBF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904A8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A6A6A6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779" w:type="dxa"/>
            <w:shd w:val="clear" w:color="auto" w:fill="A6A6A6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shd w:val="clear" w:color="auto" w:fill="A6A6A6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A6A6A6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A6A6A6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Default="00CD0AF4" w:rsidP="00F7139F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8F2B09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Style w:val="Mriekatabuky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D0AF4" w:rsidRPr="00CD0AF4" w:rsidTr="008F2B09">
        <w:trPr>
          <w:trHeight w:val="1105"/>
        </w:trPr>
        <w:tc>
          <w:tcPr>
            <w:tcW w:w="9356" w:type="dxa"/>
          </w:tcPr>
          <w:p w:rsidR="00D26A00" w:rsidRPr="00D26A00" w:rsidRDefault="00D26A00" w:rsidP="00D75AC0">
            <w:pPr>
              <w:tabs>
                <w:tab w:val="num" w:pos="1080"/>
                <w:tab w:val="left" w:pos="13041"/>
              </w:tabs>
              <w:jc w:val="both"/>
              <w:rPr>
                <w:bCs/>
                <w:i/>
                <w:sz w:val="24"/>
                <w:szCs w:val="24"/>
                <w:lang w:eastAsia="cs-CZ"/>
              </w:rPr>
            </w:pPr>
            <w:r>
              <w:rPr>
                <w:bCs/>
                <w:i/>
                <w:sz w:val="24"/>
                <w:szCs w:val="24"/>
                <w:lang w:eastAsia="cs-CZ"/>
              </w:rPr>
              <w:t>Financovanie vyslania príslušníkov OS SR do veliteľských štruktúr EUMAM UA</w:t>
            </w:r>
            <w:r w:rsidR="00CD0AF4" w:rsidRPr="00CE5535">
              <w:rPr>
                <w:bCs/>
                <w:i/>
                <w:sz w:val="24"/>
                <w:szCs w:val="24"/>
                <w:lang w:eastAsia="cs-CZ"/>
              </w:rPr>
              <w:t xml:space="preserve"> je zabezpečené v rámci rozpočtu kapit</w:t>
            </w:r>
            <w:r w:rsidR="00483542" w:rsidRPr="00CE5535">
              <w:rPr>
                <w:bCs/>
                <w:i/>
                <w:sz w:val="24"/>
                <w:szCs w:val="24"/>
                <w:lang w:eastAsia="cs-CZ"/>
              </w:rPr>
              <w:t>o</w:t>
            </w:r>
            <w:r w:rsidR="00CE5535" w:rsidRPr="00CE5535">
              <w:rPr>
                <w:bCs/>
                <w:i/>
                <w:sz w:val="24"/>
                <w:szCs w:val="24"/>
                <w:lang w:eastAsia="cs-CZ"/>
              </w:rPr>
              <w:t>ly MO SR v programe 096 Obrana,</w:t>
            </w:r>
            <w:r w:rsidR="00CE5535" w:rsidRPr="00CE5535">
              <w:rPr>
                <w:i/>
                <w:sz w:val="24"/>
                <w:szCs w:val="24"/>
              </w:rPr>
              <w:t xml:space="preserve"> podprogram 09602 Velenie a zaručovanie obrany v roku 2023 a v nasledujúcich rokoch.</w:t>
            </w:r>
            <w:r w:rsidR="00CE5535" w:rsidRPr="00CE5535">
              <w:rPr>
                <w:bCs/>
                <w:i/>
                <w:sz w:val="24"/>
                <w:szCs w:val="24"/>
                <w:lang w:eastAsia="cs-CZ"/>
              </w:rPr>
              <w:t xml:space="preserve">  </w:t>
            </w:r>
            <w:r w:rsidRPr="00505E05">
              <w:rPr>
                <w:i/>
                <w:sz w:val="24"/>
                <w:szCs w:val="24"/>
              </w:rPr>
              <w:t>Finančné náklady</w:t>
            </w:r>
            <w:r w:rsidR="008625B0">
              <w:rPr>
                <w:i/>
                <w:sz w:val="24"/>
                <w:szCs w:val="24"/>
              </w:rPr>
              <w:t xml:space="preserve"> spojené s poskytnutím výcviku ukrajinským</w:t>
            </w:r>
            <w:r w:rsidRPr="00505E05">
              <w:rPr>
                <w:i/>
                <w:sz w:val="24"/>
                <w:szCs w:val="24"/>
              </w:rPr>
              <w:t xml:space="preserve"> ozbrojeným silám budú refundované prostredníctvom Európskeho mierového nástroja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</w:tbl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CD0AF4" w:rsidRPr="00CD0AF4" w:rsidRDefault="00C60936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</w:p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x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238A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E4238A" w:rsidRDefault="00CD0AF4" w:rsidP="00CD0AF4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</w:p>
    <w:p w:rsidR="00CD0AF4" w:rsidRPr="00CD0AF4" w:rsidRDefault="00E4238A" w:rsidP="00CD0AF4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CD0AF4"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2 </w:t>
      </w:r>
    </w:p>
    <w:p w:rsidR="00CD0AF4" w:rsidRPr="00CD0AF4" w:rsidRDefault="00CD0AF4" w:rsidP="00CD0AF4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9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3"/>
        <w:gridCol w:w="1134"/>
        <w:gridCol w:w="1134"/>
        <w:gridCol w:w="1134"/>
        <w:gridCol w:w="1134"/>
      </w:tblGrid>
      <w:tr w:rsidR="00CD0AF4" w:rsidRPr="00CD0AF4" w:rsidTr="008F2B09">
        <w:trPr>
          <w:cantSplit/>
          <w:trHeight w:val="70"/>
        </w:trPr>
        <w:tc>
          <w:tcPr>
            <w:tcW w:w="4613" w:type="dxa"/>
            <w:vMerge w:val="restart"/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CD0AF4" w:rsidRPr="00CD0AF4" w:rsidTr="008F2B09">
        <w:trPr>
          <w:cantSplit/>
          <w:trHeight w:val="70"/>
        </w:trPr>
        <w:tc>
          <w:tcPr>
            <w:tcW w:w="4613" w:type="dxa"/>
            <w:vMerge/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CD0AF4" w:rsidRPr="00CD0AF4" w:rsidRDefault="00C60936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D0AF4" w:rsidRPr="00CD0AF4" w:rsidRDefault="00C60936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D0AF4" w:rsidRPr="00CD0AF4" w:rsidRDefault="00C60936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D0AF4" w:rsidRPr="00CD0AF4" w:rsidRDefault="00C60936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CD0AF4" w:rsidRPr="00CD0AF4" w:rsidTr="008F2B09">
        <w:trPr>
          <w:trHeight w:val="70"/>
        </w:trPr>
        <w:tc>
          <w:tcPr>
            <w:tcW w:w="4613" w:type="dxa"/>
          </w:tcPr>
          <w:p w:rsidR="00CD0AF4" w:rsidRPr="00CD0AF4" w:rsidRDefault="00CE5535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CD0AF4" w:rsidRPr="00CD0AF4" w:rsidRDefault="00CD0AF4" w:rsidP="002C5B4C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4238A" w:rsidRPr="00CD0AF4" w:rsidTr="008F2B09">
        <w:trPr>
          <w:trHeight w:val="70"/>
        </w:trPr>
        <w:tc>
          <w:tcPr>
            <w:tcW w:w="4613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4238A" w:rsidRPr="00CD0AF4" w:rsidTr="008F2B09">
        <w:trPr>
          <w:trHeight w:val="70"/>
        </w:trPr>
        <w:tc>
          <w:tcPr>
            <w:tcW w:w="4613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Indikátor XYZ </w:t>
            </w: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CD0AF4" w:rsidRDefault="00E4238A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</w:p>
    <w:p w:rsidR="00E4238A" w:rsidRDefault="00E4238A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60936" w:rsidRDefault="00C60936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 Výpočty vplyvov na verejné financie</w:t>
      </w:r>
    </w:p>
    <w:p w:rsidR="00C60936" w:rsidRDefault="00C60936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80360" w:rsidRPr="00423034" w:rsidRDefault="00880360" w:rsidP="00880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034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C60936" w:rsidRPr="00C60936" w:rsidRDefault="00C60936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97F2D" w:rsidRPr="00CD0AF4" w:rsidRDefault="00C97F2D" w:rsidP="00C97F2D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C97F2D" w:rsidRPr="00CD0AF4" w:rsidSect="00CD0A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418" w:bottom="1276" w:left="1418" w:header="709" w:footer="709" w:gutter="0"/>
          <w:cols w:space="708"/>
          <w:docGrid w:linePitch="360"/>
        </w:sectPr>
      </w:pPr>
    </w:p>
    <w:p w:rsidR="00CD0AF4" w:rsidRPr="00CD0AF4" w:rsidRDefault="00505E05" w:rsidP="00F7139F">
      <w:pPr>
        <w:tabs>
          <w:tab w:val="num" w:pos="12616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ab/>
      </w:r>
      <w:r w:rsidR="00CD0AF4"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pPr w:leftFromText="141" w:rightFromText="141" w:vertAnchor="page" w:horzAnchor="margin" w:tblpY="2056"/>
        <w:tblW w:w="145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819"/>
        <w:gridCol w:w="3260"/>
      </w:tblGrid>
      <w:tr w:rsidR="00CD0AF4" w:rsidRPr="00CD0AF4" w:rsidTr="00CD0AF4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D0AF4" w:rsidRPr="00CD0AF4" w:rsidTr="00CD0AF4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Poplatky a platby (223)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 predaj výrobkov, tovar (223001)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</w:tbl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–  príjmy rozpísať až do položiek platnej ekonomickej klasifikácie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Poznámka: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2333"/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1404" w:tblpY="2"/>
        <w:tblW w:w="146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5"/>
        <w:gridCol w:w="1540"/>
        <w:gridCol w:w="1540"/>
        <w:gridCol w:w="1540"/>
        <w:gridCol w:w="1540"/>
        <w:gridCol w:w="2220"/>
      </w:tblGrid>
      <w:tr w:rsidR="00CD0AF4" w:rsidRPr="00CD0AF4" w:rsidTr="008F2B09">
        <w:trPr>
          <w:cantSplit/>
          <w:trHeight w:val="255"/>
        </w:trPr>
        <w:tc>
          <w:tcPr>
            <w:tcW w:w="6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D0AF4" w:rsidRPr="00CD0AF4" w:rsidTr="008F2B09">
        <w:trPr>
          <w:cantSplit/>
          <w:trHeight w:val="255"/>
        </w:trPr>
        <w:tc>
          <w:tcPr>
            <w:tcW w:w="6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153CD8" w:rsidRDefault="008963AF" w:rsidP="004C474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CE5535" w:rsidRPr="0015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CE5535" w:rsidRPr="0015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315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A03D68" w:rsidRDefault="00CE5535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3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215 422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153CD8" w:rsidRDefault="00CE553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105 120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153CD8" w:rsidRDefault="00CE5535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3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52 560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153CD8" w:rsidRDefault="00CE553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38 054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153CD8" w:rsidRDefault="00CE5535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3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19 026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Tovary a služby (630)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153CD8" w:rsidRDefault="00CE5535" w:rsidP="00BC120D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313 141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153CD8" w:rsidRDefault="00CE5535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3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143 836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631 Cestovné náhrady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E553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6 570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A03D68" w:rsidRDefault="00CE5535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3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A03D68" w:rsidRPr="00A03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E5535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5" w:rsidRPr="00CD0AF4" w:rsidRDefault="00CE5535" w:rsidP="00CE5535">
            <w:pPr>
              <w:tabs>
                <w:tab w:val="num" w:pos="108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632 Telekomunikačné služby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35" w:rsidRDefault="00CE553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35" w:rsidRPr="00A03D68" w:rsidRDefault="00A03D68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3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35" w:rsidRPr="00CD0AF4" w:rsidRDefault="00CE5535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535" w:rsidRPr="00CD0AF4" w:rsidRDefault="00CE5535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535" w:rsidRPr="00CD0AF4" w:rsidRDefault="00CE5535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633 Materiál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E553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24 000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A03D68" w:rsidRDefault="00CD0AF4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634 Dopravné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A03D68" w:rsidRDefault="00CD0AF4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636 Prenájom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E553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216</w:t>
            </w:r>
            <w:r w:rsidR="00053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A03D68" w:rsidRDefault="00A03D68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3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637 Služby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E553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65 851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A03D68" w:rsidRDefault="00A03D68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3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32 926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4" w:rsidRPr="00CD0AF4" w:rsidRDefault="000537F5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CD0AF4"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Splácanie úrokov a ostatné platby súvisiace s  úverom, pôžičkou, návratnou finančnou výpomocou a finančným prenájmom (650)</w:t>
            </w:r>
            <w:r w:rsidR="00CD0AF4"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A03D68" w:rsidRDefault="00CD0AF4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A03D68" w:rsidRDefault="00CD0AF4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A03D68" w:rsidRDefault="00CD0AF4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Kapitálové transfery (720)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A03D68" w:rsidRDefault="00CD0AF4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A03D68" w:rsidRDefault="00CD0AF4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AF4" w:rsidRPr="00E4238A" w:rsidRDefault="00A03D68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456 315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AF4" w:rsidRPr="00A03D68" w:rsidRDefault="00A03D68" w:rsidP="00A0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3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215 422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</w:tbl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 –  výdavky rozpísať až do položiek platnej ekonomickej klasifikácie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Poznámka: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</w:t>
      </w:r>
    </w:p>
    <w:p w:rsidR="00CD0AF4" w:rsidRPr="00CD0AF4" w:rsidRDefault="00CD0AF4" w:rsidP="00CD0AF4">
      <w:pPr>
        <w:tabs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5 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1445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1698"/>
        <w:gridCol w:w="1788"/>
        <w:gridCol w:w="720"/>
        <w:gridCol w:w="1698"/>
        <w:gridCol w:w="1722"/>
        <w:gridCol w:w="630"/>
        <w:gridCol w:w="727"/>
      </w:tblGrid>
      <w:tr w:rsidR="00CD0AF4" w:rsidRPr="00CD0AF4" w:rsidTr="00CD0AF4">
        <w:trPr>
          <w:cantSplit/>
          <w:trHeight w:val="255"/>
        </w:trPr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D0AF4" w:rsidRPr="00CD0AF4" w:rsidTr="00CD0AF4">
        <w:trPr>
          <w:cantSplit/>
          <w:trHeight w:val="255"/>
        </w:trPr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6B5DE8" w:rsidRDefault="006B5DE8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B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6B5DE8" w:rsidRDefault="006B5DE8" w:rsidP="006B5DE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B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164833" w:rsidRDefault="006B5DE8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6B5DE8" w:rsidRDefault="006B5DE8" w:rsidP="006B5DE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B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164833" w:rsidRDefault="006B5DE8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2 190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6B5DE8" w:rsidRDefault="006B5DE8" w:rsidP="006B5DE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B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2 190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164833" w:rsidRDefault="006B5DE8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2 190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6B5DE8" w:rsidRDefault="006B5DE8" w:rsidP="006B5DE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B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2 190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6B5DE8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143 174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6B5DE8" w:rsidP="006B5DE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71 586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6B5DE8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105 120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6B5DE8" w:rsidRDefault="006B5DE8" w:rsidP="006B5DE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B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52 560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6B5DE8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105 120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6B5DE8" w:rsidRDefault="006B5DE8" w:rsidP="006B5DE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B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52 560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6B5DE8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38 054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6B5DE8" w:rsidRDefault="006B5DE8" w:rsidP="006B5DE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B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19 026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6B5DE8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38 054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6B5DE8" w:rsidRDefault="006B5DE8" w:rsidP="006B5DE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B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19 026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131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96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139F" w:rsidRDefault="00F7139F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F7139F" w:rsidSect="00171C2F">
          <w:footerReference w:type="default" r:id="rId1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A060B" w:rsidRDefault="003A060B" w:rsidP="003A0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3A060B" w:rsidSect="00171C2F">
          <w:footerReference w:type="default" r:id="rId1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71C2F" w:rsidRDefault="00171C2F" w:rsidP="0039270E">
      <w:pPr>
        <w:tabs>
          <w:tab w:val="num" w:pos="12616"/>
          <w:tab w:val="left" w:pos="13041"/>
        </w:tabs>
        <w:spacing w:after="0" w:line="240" w:lineRule="auto"/>
        <w:rPr>
          <w:sz w:val="24"/>
          <w:szCs w:val="24"/>
        </w:rPr>
      </w:pPr>
    </w:p>
    <w:p w:rsidR="00171C2F" w:rsidRPr="00CD0AF4" w:rsidRDefault="00171C2F" w:rsidP="00171C2F">
      <w:pPr>
        <w:tabs>
          <w:tab w:val="num" w:pos="12616"/>
          <w:tab w:val="left" w:pos="13041"/>
        </w:tabs>
        <w:spacing w:after="0" w:line="240" w:lineRule="auto"/>
        <w:jc w:val="right"/>
        <w:rPr>
          <w:sz w:val="24"/>
          <w:szCs w:val="24"/>
        </w:rPr>
      </w:pPr>
    </w:p>
    <w:sectPr w:rsidR="00171C2F" w:rsidRPr="00CD0AF4" w:rsidSect="00F7139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13" w:rsidRDefault="005D4C13" w:rsidP="001B23B7">
      <w:pPr>
        <w:spacing w:after="0" w:line="240" w:lineRule="auto"/>
      </w:pPr>
      <w:r>
        <w:separator/>
      </w:r>
    </w:p>
  </w:endnote>
  <w:endnote w:type="continuationSeparator" w:id="0">
    <w:p w:rsidR="005D4C13" w:rsidRDefault="005D4C1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3" w:rsidRDefault="005D4C1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8</w:t>
    </w:r>
    <w:r>
      <w:rPr>
        <w:rStyle w:val="slostrany"/>
      </w:rPr>
      <w:fldChar w:fldCharType="end"/>
    </w:r>
  </w:p>
  <w:p w:rsidR="005D4C13" w:rsidRDefault="005D4C1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474957"/>
      <w:docPartObj>
        <w:docPartGallery w:val="Page Numbers (Bottom of Page)"/>
        <w:docPartUnique/>
      </w:docPartObj>
    </w:sdtPr>
    <w:sdtEndPr/>
    <w:sdtContent>
      <w:p w:rsidR="005D4C13" w:rsidRDefault="005D4C13">
        <w:pPr>
          <w:pStyle w:val="Pta"/>
          <w:jc w:val="right"/>
        </w:pPr>
        <w:r w:rsidRPr="000652F4">
          <w:rPr>
            <w:rFonts w:ascii="Times New Roman" w:hAnsi="Times New Roman" w:cs="Times New Roman"/>
          </w:rPr>
          <w:fldChar w:fldCharType="begin"/>
        </w:r>
        <w:r w:rsidRPr="000652F4">
          <w:rPr>
            <w:rFonts w:ascii="Times New Roman" w:hAnsi="Times New Roman" w:cs="Times New Roman"/>
          </w:rPr>
          <w:instrText>PAGE   \* MERGEFORMAT</w:instrText>
        </w:r>
        <w:r w:rsidRPr="000652F4">
          <w:rPr>
            <w:rFonts w:ascii="Times New Roman" w:hAnsi="Times New Roman" w:cs="Times New Roman"/>
          </w:rPr>
          <w:fldChar w:fldCharType="separate"/>
        </w:r>
        <w:r w:rsidR="0075333B">
          <w:rPr>
            <w:rFonts w:ascii="Times New Roman" w:hAnsi="Times New Roman" w:cs="Times New Roman"/>
            <w:noProof/>
          </w:rPr>
          <w:t>4</w:t>
        </w:r>
        <w:r w:rsidRPr="000652F4">
          <w:rPr>
            <w:rFonts w:ascii="Times New Roman" w:hAnsi="Times New Roman" w:cs="Times New Roman"/>
          </w:rPr>
          <w:fldChar w:fldCharType="end"/>
        </w:r>
      </w:p>
    </w:sdtContent>
  </w:sdt>
  <w:p w:rsidR="005D4C13" w:rsidRDefault="005D4C1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3" w:rsidRDefault="005D4C1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D4C13" w:rsidRDefault="005D4C13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4C13" w:rsidRPr="006045CB" w:rsidRDefault="005D4C13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33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4C13" w:rsidRDefault="005D4C13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01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4C13" w:rsidRPr="006045CB" w:rsidRDefault="005D4C13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33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4C13" w:rsidRDefault="005D4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13" w:rsidRDefault="005D4C13" w:rsidP="001B23B7">
      <w:pPr>
        <w:spacing w:after="0" w:line="240" w:lineRule="auto"/>
      </w:pPr>
      <w:r>
        <w:separator/>
      </w:r>
    </w:p>
  </w:footnote>
  <w:footnote w:type="continuationSeparator" w:id="0">
    <w:p w:rsidR="005D4C13" w:rsidRDefault="005D4C13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3" w:rsidRDefault="005D4C13" w:rsidP="00CD0AF4">
    <w:pPr>
      <w:pStyle w:val="Hlavika"/>
      <w:jc w:val="right"/>
    </w:pPr>
    <w:r>
      <w:t>Príloha č. 2</w:t>
    </w:r>
  </w:p>
  <w:p w:rsidR="005D4C13" w:rsidRPr="00EB59C8" w:rsidRDefault="005D4C13" w:rsidP="00CD0AF4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3" w:rsidRDefault="005D4C13" w:rsidP="00CD0AF4">
    <w:pPr>
      <w:pStyle w:val="Hlavika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3" w:rsidRPr="000A15AE" w:rsidRDefault="005D4C13" w:rsidP="00CD0AF4">
    <w:pPr>
      <w:pStyle w:val="Hlavika"/>
      <w:jc w:val="right"/>
    </w:pPr>
    <w: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4224"/>
    <w:rsid w:val="00043706"/>
    <w:rsid w:val="000537F5"/>
    <w:rsid w:val="000578FF"/>
    <w:rsid w:val="000652F4"/>
    <w:rsid w:val="00083D03"/>
    <w:rsid w:val="00087559"/>
    <w:rsid w:val="00097069"/>
    <w:rsid w:val="000A4FEC"/>
    <w:rsid w:val="000B04F9"/>
    <w:rsid w:val="000D348F"/>
    <w:rsid w:val="000F2BE9"/>
    <w:rsid w:val="0011522B"/>
    <w:rsid w:val="00137425"/>
    <w:rsid w:val="00153CD8"/>
    <w:rsid w:val="00164833"/>
    <w:rsid w:val="00171C2F"/>
    <w:rsid w:val="00175A38"/>
    <w:rsid w:val="00196649"/>
    <w:rsid w:val="001B23B7"/>
    <w:rsid w:val="001B44A7"/>
    <w:rsid w:val="001B555D"/>
    <w:rsid w:val="001C042B"/>
    <w:rsid w:val="001E3562"/>
    <w:rsid w:val="001F6A0E"/>
    <w:rsid w:val="001F73D3"/>
    <w:rsid w:val="00202FAC"/>
    <w:rsid w:val="00203EE3"/>
    <w:rsid w:val="00230DC9"/>
    <w:rsid w:val="0023360B"/>
    <w:rsid w:val="00243652"/>
    <w:rsid w:val="00262087"/>
    <w:rsid w:val="00271494"/>
    <w:rsid w:val="002933E5"/>
    <w:rsid w:val="00294C85"/>
    <w:rsid w:val="00295867"/>
    <w:rsid w:val="002C5B4C"/>
    <w:rsid w:val="003145AE"/>
    <w:rsid w:val="00333477"/>
    <w:rsid w:val="003551E4"/>
    <w:rsid w:val="00364A73"/>
    <w:rsid w:val="0037341A"/>
    <w:rsid w:val="0039270E"/>
    <w:rsid w:val="003A057B"/>
    <w:rsid w:val="003A060B"/>
    <w:rsid w:val="003A2037"/>
    <w:rsid w:val="003C2604"/>
    <w:rsid w:val="00400A3C"/>
    <w:rsid w:val="0040548D"/>
    <w:rsid w:val="00423034"/>
    <w:rsid w:val="00426A30"/>
    <w:rsid w:val="00474CAF"/>
    <w:rsid w:val="00483542"/>
    <w:rsid w:val="00493CCA"/>
    <w:rsid w:val="0049476D"/>
    <w:rsid w:val="004A4383"/>
    <w:rsid w:val="004C4748"/>
    <w:rsid w:val="004C6831"/>
    <w:rsid w:val="004D1E05"/>
    <w:rsid w:val="004E4256"/>
    <w:rsid w:val="00505E05"/>
    <w:rsid w:val="005904A8"/>
    <w:rsid w:val="00591C9D"/>
    <w:rsid w:val="00591EC6"/>
    <w:rsid w:val="005D4C13"/>
    <w:rsid w:val="00654540"/>
    <w:rsid w:val="00670F69"/>
    <w:rsid w:val="006A655B"/>
    <w:rsid w:val="006B5DE8"/>
    <w:rsid w:val="006C726F"/>
    <w:rsid w:val="006E238B"/>
    <w:rsid w:val="006F678E"/>
    <w:rsid w:val="006F6B62"/>
    <w:rsid w:val="007016C9"/>
    <w:rsid w:val="00720322"/>
    <w:rsid w:val="0075197E"/>
    <w:rsid w:val="0075333B"/>
    <w:rsid w:val="00761208"/>
    <w:rsid w:val="00775A73"/>
    <w:rsid w:val="0079156F"/>
    <w:rsid w:val="007A63E9"/>
    <w:rsid w:val="007B40C1"/>
    <w:rsid w:val="007C5D71"/>
    <w:rsid w:val="007D54AD"/>
    <w:rsid w:val="007E6659"/>
    <w:rsid w:val="00814133"/>
    <w:rsid w:val="0083129D"/>
    <w:rsid w:val="00832310"/>
    <w:rsid w:val="00843361"/>
    <w:rsid w:val="008508FD"/>
    <w:rsid w:val="00854BA0"/>
    <w:rsid w:val="008556F9"/>
    <w:rsid w:val="00860BA0"/>
    <w:rsid w:val="008625B0"/>
    <w:rsid w:val="00865E81"/>
    <w:rsid w:val="00874318"/>
    <w:rsid w:val="008801B5"/>
    <w:rsid w:val="00880360"/>
    <w:rsid w:val="00881BF2"/>
    <w:rsid w:val="008963AF"/>
    <w:rsid w:val="008B222D"/>
    <w:rsid w:val="008C79B7"/>
    <w:rsid w:val="008F2B09"/>
    <w:rsid w:val="008F37A4"/>
    <w:rsid w:val="00926962"/>
    <w:rsid w:val="00930CD2"/>
    <w:rsid w:val="009431E3"/>
    <w:rsid w:val="009475F5"/>
    <w:rsid w:val="00957336"/>
    <w:rsid w:val="00970E6D"/>
    <w:rsid w:val="009717F5"/>
    <w:rsid w:val="00996A58"/>
    <w:rsid w:val="009A2481"/>
    <w:rsid w:val="009C346B"/>
    <w:rsid w:val="009C424C"/>
    <w:rsid w:val="009D7C04"/>
    <w:rsid w:val="009E09F7"/>
    <w:rsid w:val="009F4832"/>
    <w:rsid w:val="00A03D68"/>
    <w:rsid w:val="00A340BB"/>
    <w:rsid w:val="00A4078A"/>
    <w:rsid w:val="00A41121"/>
    <w:rsid w:val="00A47367"/>
    <w:rsid w:val="00A508BC"/>
    <w:rsid w:val="00AA0F97"/>
    <w:rsid w:val="00AC30D6"/>
    <w:rsid w:val="00B079AD"/>
    <w:rsid w:val="00B27760"/>
    <w:rsid w:val="00B34AF6"/>
    <w:rsid w:val="00B547F5"/>
    <w:rsid w:val="00B84F87"/>
    <w:rsid w:val="00BA2BF4"/>
    <w:rsid w:val="00BC120D"/>
    <w:rsid w:val="00BC5AA3"/>
    <w:rsid w:val="00BF20A4"/>
    <w:rsid w:val="00C33074"/>
    <w:rsid w:val="00C41410"/>
    <w:rsid w:val="00C42F5A"/>
    <w:rsid w:val="00C47308"/>
    <w:rsid w:val="00C52996"/>
    <w:rsid w:val="00C60936"/>
    <w:rsid w:val="00C8181C"/>
    <w:rsid w:val="00C86D48"/>
    <w:rsid w:val="00C93E48"/>
    <w:rsid w:val="00C97F2D"/>
    <w:rsid w:val="00CA51B0"/>
    <w:rsid w:val="00CC0715"/>
    <w:rsid w:val="00CC3220"/>
    <w:rsid w:val="00CD0AF4"/>
    <w:rsid w:val="00CE5535"/>
    <w:rsid w:val="00CE6AAE"/>
    <w:rsid w:val="00CF1A25"/>
    <w:rsid w:val="00CF6A50"/>
    <w:rsid w:val="00D2313B"/>
    <w:rsid w:val="00D26A00"/>
    <w:rsid w:val="00D50F1E"/>
    <w:rsid w:val="00D54984"/>
    <w:rsid w:val="00D61E58"/>
    <w:rsid w:val="00D66441"/>
    <w:rsid w:val="00D75AC0"/>
    <w:rsid w:val="00DD7566"/>
    <w:rsid w:val="00DF1768"/>
    <w:rsid w:val="00DF357C"/>
    <w:rsid w:val="00E01EDD"/>
    <w:rsid w:val="00E3215D"/>
    <w:rsid w:val="00E4238A"/>
    <w:rsid w:val="00E90557"/>
    <w:rsid w:val="00ED1AC0"/>
    <w:rsid w:val="00F16F7B"/>
    <w:rsid w:val="00F3334E"/>
    <w:rsid w:val="00F7139F"/>
    <w:rsid w:val="00F87681"/>
    <w:rsid w:val="00FA02DB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A9A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D0AF4"/>
    <w:rPr>
      <w:color w:val="0563C1" w:themeColor="hyperlink"/>
      <w:u w:val="single"/>
    </w:rPr>
  </w:style>
  <w:style w:type="table" w:customStyle="1" w:styleId="Mriekatabuky2">
    <w:name w:val="Mriežka tabuľky2"/>
    <w:basedOn w:val="Normlnatabuka"/>
    <w:next w:val="Mriekatabuky"/>
    <w:rsid w:val="00CD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CD0AF4"/>
  </w:style>
  <w:style w:type="paragraph" w:customStyle="1" w:styleId="Default">
    <w:name w:val="Default"/>
    <w:rsid w:val="00FF7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avla.obertova@mod.gov.s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ana.kotorova@mod.gov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73B747-7CA6-4C56-841A-0C15039D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OBERTOVA Pavla</cp:lastModifiedBy>
  <cp:revision>33</cp:revision>
  <cp:lastPrinted>2023-04-14T09:04:00Z</cp:lastPrinted>
  <dcterms:created xsi:type="dcterms:W3CDTF">2023-01-10T09:35:00Z</dcterms:created>
  <dcterms:modified xsi:type="dcterms:W3CDTF">2023-04-14T09:06:00Z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